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5" w:rsidRDefault="00C370C5">
      <w:pPr>
        <w:rPr>
          <w:b/>
          <w:u w:val="single"/>
        </w:rPr>
      </w:pPr>
    </w:p>
    <w:p w:rsidR="008E6C13" w:rsidRPr="00D13BDB" w:rsidRDefault="008E6C13">
      <w:pPr>
        <w:rPr>
          <w:b/>
          <w:u w:val="single"/>
        </w:rPr>
      </w:pPr>
      <w:r w:rsidRPr="00D13BDB">
        <w:rPr>
          <w:b/>
          <w:u w:val="single"/>
        </w:rPr>
        <w:t>Art, Design, and Preservation</w:t>
      </w:r>
    </w:p>
    <w:p w:rsidR="008F5BA9" w:rsidRPr="00D13BDB" w:rsidRDefault="008F5BA9" w:rsidP="008F5BA9">
      <w:pPr>
        <w:rPr>
          <w:b/>
          <w:u w:val="single"/>
        </w:rPr>
      </w:pPr>
      <w:r w:rsidRPr="00D13BDB">
        <w:t xml:space="preserve">This </w:t>
      </w:r>
      <w:r w:rsidR="004A20E2" w:rsidRPr="00D13BDB">
        <w:t>technical committee</w:t>
      </w:r>
      <w:r w:rsidRPr="00D13BDB">
        <w:t xml:space="preserve"> has also been working and meeting steadily since February 2017</w:t>
      </w:r>
    </w:p>
    <w:p w:rsidR="008F5BA9" w:rsidRPr="00D13BDB" w:rsidRDefault="008F5BA9" w:rsidP="008F5BA9">
      <w:pPr>
        <w:jc w:val="both"/>
      </w:pPr>
      <w:r w:rsidRPr="00D13BDB">
        <w:t xml:space="preserve">The Art, Design, Preservation </w:t>
      </w:r>
      <w:r w:rsidR="004A20E2" w:rsidRPr="00D13BDB">
        <w:t>technical committee</w:t>
      </w:r>
      <w:r w:rsidRPr="00D13BDB">
        <w:t xml:space="preserve"> has defined their topic areas:</w:t>
      </w:r>
    </w:p>
    <w:p w:rsidR="008F5BA9" w:rsidRPr="00D13BDB" w:rsidRDefault="008F5BA9" w:rsidP="008F5BA9">
      <w:pPr>
        <w:pStyle w:val="ListParagraph"/>
        <w:numPr>
          <w:ilvl w:val="0"/>
          <w:numId w:val="4"/>
        </w:numPr>
        <w:jc w:val="both"/>
        <w:sectPr w:rsidR="008F5BA9" w:rsidRPr="00D13BDB" w:rsidSect="008F5B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5BA9" w:rsidRPr="00D13BDB" w:rsidRDefault="008F5BA9" w:rsidP="008F5BA9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b/>
          <w:sz w:val="18"/>
          <w:szCs w:val="19"/>
        </w:rPr>
        <w:lastRenderedPageBreak/>
        <w:t>Cultural resources</w:t>
      </w:r>
    </w:p>
    <w:p w:rsidR="00DF1867" w:rsidRPr="00D13BDB" w:rsidRDefault="008F5BA9" w:rsidP="00DF1867">
      <w:pPr>
        <w:pStyle w:val="ListParagraph"/>
        <w:numPr>
          <w:ilvl w:val="2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Cultural resources can be a person, place, thing, or idea, of or related to a culture or civilization, that can be drawn on by the community for public good</w:t>
      </w:r>
    </w:p>
    <w:p w:rsidR="008F5BA9" w:rsidRPr="00D13BDB" w:rsidRDefault="008F5BA9" w:rsidP="008F5BA9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b/>
          <w:sz w:val="18"/>
          <w:szCs w:val="19"/>
        </w:rPr>
        <w:t>Urban design standards</w:t>
      </w:r>
    </w:p>
    <w:p w:rsidR="00DF1867" w:rsidRPr="00D13BDB" w:rsidRDefault="00DF1867" w:rsidP="00DF1867">
      <w:pPr>
        <w:pStyle w:val="ListParagraph"/>
        <w:numPr>
          <w:ilvl w:val="2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Rules, guidelines, and tools that translate the intent for the built environment into physical qualities and processes to be achieved</w:t>
      </w:r>
    </w:p>
    <w:p w:rsidR="00DA3AFC" w:rsidRPr="00D13BDB" w:rsidRDefault="00DA3AFC" w:rsidP="005B7E7C">
      <w:pPr>
        <w:pStyle w:val="ListParagraph"/>
        <w:ind w:left="1440"/>
        <w:rPr>
          <w:sz w:val="18"/>
          <w:szCs w:val="19"/>
        </w:rPr>
      </w:pPr>
    </w:p>
    <w:p w:rsidR="008F5BA9" w:rsidRPr="00D13BDB" w:rsidRDefault="008F5BA9" w:rsidP="008F5BA9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b/>
          <w:sz w:val="18"/>
          <w:szCs w:val="19"/>
        </w:rPr>
        <w:lastRenderedPageBreak/>
        <w:t>Historic preservation and conservation</w:t>
      </w:r>
    </w:p>
    <w:p w:rsidR="00DF1867" w:rsidRPr="00D13BDB" w:rsidRDefault="00DF1867" w:rsidP="00DF1867">
      <w:pPr>
        <w:pStyle w:val="ListParagraph"/>
        <w:numPr>
          <w:ilvl w:val="2"/>
          <w:numId w:val="4"/>
        </w:numPr>
        <w:rPr>
          <w:sz w:val="18"/>
          <w:szCs w:val="19"/>
        </w:rPr>
      </w:pPr>
      <w:r w:rsidRPr="00D13BDB">
        <w:rPr>
          <w:sz w:val="18"/>
          <w:szCs w:val="19"/>
        </w:rPr>
        <w:t>The act that looks to preserve, conserve and protect buildings, objects, landscapes or other artifacts of historical significance and importance</w:t>
      </w:r>
    </w:p>
    <w:p w:rsidR="008F5BA9" w:rsidRPr="00D13BDB" w:rsidRDefault="008F5BA9" w:rsidP="008F5BA9">
      <w:pPr>
        <w:pStyle w:val="ListParagraph"/>
        <w:numPr>
          <w:ilvl w:val="1"/>
          <w:numId w:val="4"/>
        </w:numPr>
        <w:rPr>
          <w:sz w:val="18"/>
          <w:szCs w:val="19"/>
        </w:rPr>
      </w:pPr>
      <w:r w:rsidRPr="00D13BDB">
        <w:rPr>
          <w:b/>
          <w:sz w:val="18"/>
          <w:szCs w:val="19"/>
        </w:rPr>
        <w:t xml:space="preserve">Public art </w:t>
      </w:r>
    </w:p>
    <w:p w:rsidR="008F5BA9" w:rsidRPr="00D13BDB" w:rsidRDefault="00DF1867" w:rsidP="001A747A">
      <w:pPr>
        <w:pStyle w:val="ListParagraph"/>
        <w:numPr>
          <w:ilvl w:val="2"/>
          <w:numId w:val="4"/>
        </w:numPr>
        <w:rPr>
          <w:sz w:val="16"/>
          <w:szCs w:val="19"/>
        </w:rPr>
        <w:sectPr w:rsidR="008F5BA9" w:rsidRPr="00D13BDB" w:rsidSect="007338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3BDB">
        <w:rPr>
          <w:sz w:val="18"/>
          <w:szCs w:val="19"/>
        </w:rPr>
        <w:t>Public art can be visual, interactive, and/or performance pieces that may be temporary or permanent and intended to be enjoyed by the pu</w:t>
      </w:r>
      <w:r w:rsidR="007338BF" w:rsidRPr="00D13BDB">
        <w:rPr>
          <w:sz w:val="18"/>
          <w:szCs w:val="19"/>
        </w:rPr>
        <w:t>blic</w:t>
      </w:r>
    </w:p>
    <w:p w:rsidR="007338BF" w:rsidRPr="00D13BDB" w:rsidRDefault="007338BF" w:rsidP="008F5BA9">
      <w:pPr>
        <w:jc w:val="both"/>
        <w:sectPr w:rsidR="007338BF" w:rsidRPr="00D13BDB" w:rsidSect="00F04C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5BA9" w:rsidRPr="00D13BDB" w:rsidRDefault="008F5BA9" w:rsidP="008F5BA9">
      <w:pPr>
        <w:jc w:val="both"/>
      </w:pPr>
      <w:r w:rsidRPr="00D13BDB">
        <w:lastRenderedPageBreak/>
        <w:t xml:space="preserve">In addition to the work regarding the focus areas, the </w:t>
      </w:r>
      <w:r w:rsidR="004A20E2" w:rsidRPr="00D13BDB">
        <w:t>technical committee</w:t>
      </w:r>
      <w:r w:rsidRPr="00D13BDB">
        <w:t xml:space="preserve"> members have been contributing supplemental information to the Memphis 3.0 process. Their supplied individual research relates to topics such as:</w:t>
      </w:r>
    </w:p>
    <w:p w:rsidR="0012286F" w:rsidRPr="00D13BDB" w:rsidRDefault="0012286F" w:rsidP="0012286F">
      <w:pPr>
        <w:pStyle w:val="ListParagraph"/>
        <w:numPr>
          <w:ilvl w:val="0"/>
          <w:numId w:val="6"/>
        </w:numPr>
      </w:pPr>
      <w:r w:rsidRPr="00D13BDB">
        <w:t>Other city’s efforts in Design, Art, and Preservation</w:t>
      </w:r>
    </w:p>
    <w:p w:rsidR="008F5BA9" w:rsidRPr="00D13BDB" w:rsidRDefault="00DF1867" w:rsidP="0012286F">
      <w:pPr>
        <w:pStyle w:val="ListParagraph"/>
        <w:numPr>
          <w:ilvl w:val="1"/>
          <w:numId w:val="6"/>
        </w:numPr>
      </w:pPr>
      <w:r w:rsidRPr="00D13BDB">
        <w:t>Atlanta’s efforts in historic preservation and conservation around their Beltline</w:t>
      </w:r>
    </w:p>
    <w:p w:rsidR="0012286F" w:rsidRPr="00D13BDB" w:rsidRDefault="0012286F" w:rsidP="0012286F">
      <w:pPr>
        <w:pStyle w:val="ListParagraph"/>
        <w:numPr>
          <w:ilvl w:val="0"/>
          <w:numId w:val="6"/>
        </w:numPr>
      </w:pPr>
      <w:r w:rsidRPr="00D13BDB">
        <w:t>Training programs existing in Memphis for artists/other providers of cultural resources so they can engage better with the planning/development process</w:t>
      </w:r>
    </w:p>
    <w:p w:rsidR="008F5BA9" w:rsidRPr="00D13BDB" w:rsidRDefault="008F5BA9" w:rsidP="008F5BA9">
      <w:pPr>
        <w:jc w:val="both"/>
      </w:pPr>
      <w:r w:rsidRPr="00D13BDB">
        <w:t xml:space="preserve">The supplemental information has been aiding the </w:t>
      </w:r>
      <w:r w:rsidR="0012286F" w:rsidRPr="00D13BDB">
        <w:t>Art, Design, and Preservation</w:t>
      </w:r>
      <w:r w:rsidRPr="00D13BDB">
        <w:t xml:space="preserve"> </w:t>
      </w:r>
      <w:r w:rsidR="004A20E2" w:rsidRPr="00D13BDB">
        <w:t>technical committee</w:t>
      </w:r>
      <w:r w:rsidRPr="00D13BDB">
        <w:t xml:space="preserve"> in the process of cr</w:t>
      </w:r>
      <w:r w:rsidR="0012286F" w:rsidRPr="00D13BDB">
        <w:t>eating their background report</w:t>
      </w:r>
      <w:r w:rsidR="00DA3AFC" w:rsidRPr="00D13BDB">
        <w:t xml:space="preserve"> which will be available for public distribution and comment</w:t>
      </w:r>
      <w:r w:rsidR="0012286F" w:rsidRPr="00D13BDB">
        <w:t xml:space="preserve">. This report includes detailed information as it relates to each of its topic areas and is ultimately the state of the city for each of them. </w:t>
      </w:r>
      <w:r w:rsidRPr="00D13BDB">
        <w:t xml:space="preserve">Also included is the alignment report—an aspect that shows Memphis’s position with </w:t>
      </w:r>
      <w:r w:rsidR="0012286F" w:rsidRPr="00D13BDB">
        <w:t>Design, Art, and Preservation</w:t>
      </w:r>
      <w:r w:rsidRPr="00D13BDB">
        <w:t xml:space="preserve"> as it compares to other </w:t>
      </w:r>
      <w:r w:rsidR="004A20E2" w:rsidRPr="00D13BDB">
        <w:t>technical committee</w:t>
      </w:r>
      <w:r w:rsidRPr="00D13BDB">
        <w:t xml:space="preserve">s, other initiatives, and existing plans within the city. </w:t>
      </w:r>
    </w:p>
    <w:p w:rsidR="008F5BA9" w:rsidRPr="00D13BDB" w:rsidRDefault="0012286F" w:rsidP="008F5BA9">
      <w:pPr>
        <w:jc w:val="both"/>
      </w:pPr>
      <w:r w:rsidRPr="00D13BDB">
        <w:t>Art, Design, and Preservation’s</w:t>
      </w:r>
      <w:r w:rsidR="008F5BA9" w:rsidRPr="00D13BDB">
        <w:t xml:space="preserve"> next steps are to continue to work on the background report</w:t>
      </w:r>
      <w:r w:rsidRPr="00D13BDB">
        <w:t>, through member involvement and editing</w:t>
      </w:r>
      <w:r w:rsidR="008F5BA9" w:rsidRPr="00D13BDB">
        <w:t xml:space="preserve">, and begin to approach Phase </w:t>
      </w:r>
      <w:r w:rsidR="004A20E2" w:rsidRPr="00D13BDB">
        <w:t xml:space="preserve">2 </w:t>
      </w:r>
      <w:r w:rsidR="00DA3AFC" w:rsidRPr="00D13BDB">
        <w:t>using input gathered through public meetings and other forms of public engagement of the Memphis 3.0 comprehensive planning process: Goals and Future Growth</w:t>
      </w:r>
      <w:r w:rsidR="008F5BA9" w:rsidRPr="00D13BDB">
        <w:t xml:space="preserve">. </w:t>
      </w:r>
    </w:p>
    <w:p w:rsidR="000C65A1" w:rsidRPr="00D13BDB" w:rsidRDefault="0012286F" w:rsidP="000C65A1">
      <w:pPr>
        <w:jc w:val="both"/>
      </w:pPr>
      <w:r w:rsidRPr="00D13BDB">
        <w:t>What do you consider a cultural resource in your neighborhood?</w:t>
      </w:r>
      <w:bookmarkStart w:id="0" w:name="_GoBack"/>
      <w:bookmarkEnd w:id="0"/>
    </w:p>
    <w:sectPr w:rsidR="000C65A1" w:rsidRPr="00D13BDB" w:rsidSect="00F04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C5" w:rsidRDefault="00C370C5" w:rsidP="00C370C5">
      <w:pPr>
        <w:spacing w:after="0" w:line="240" w:lineRule="auto"/>
      </w:pPr>
      <w:r>
        <w:separator/>
      </w:r>
    </w:p>
  </w:endnote>
  <w:endnote w:type="continuationSeparator" w:id="0">
    <w:p w:rsidR="00C370C5" w:rsidRDefault="00C370C5" w:rsidP="00C3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5B7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C5" w:rsidRDefault="00C370C5" w:rsidP="00C370C5">
    <w:pPr>
      <w:pStyle w:val="Footer"/>
      <w:jc w:val="right"/>
    </w:pPr>
    <w:r>
      <w:t>Revised May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5B7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C5" w:rsidRDefault="00C370C5" w:rsidP="00C370C5">
      <w:pPr>
        <w:spacing w:after="0" w:line="240" w:lineRule="auto"/>
      </w:pPr>
      <w:r>
        <w:separator/>
      </w:r>
    </w:p>
  </w:footnote>
  <w:footnote w:type="continuationSeparator" w:id="0">
    <w:p w:rsidR="00C370C5" w:rsidRDefault="00C370C5" w:rsidP="00C3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C96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39829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C5" w:rsidRDefault="00C96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39830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"/>
          <w10:wrap anchorx="margin" anchory="margin"/>
        </v:shape>
      </w:pict>
    </w:r>
    <w:r w:rsidR="00C370C5">
      <w:rPr>
        <w:noProof/>
      </w:rPr>
      <w:drawing>
        <wp:anchor distT="0" distB="0" distL="114300" distR="114300" simplePos="0" relativeHeight="251658240" behindDoc="0" locked="0" layoutInCell="1" allowOverlap="1" wp14:anchorId="013D3DA3" wp14:editId="2572498B">
          <wp:simplePos x="0" y="0"/>
          <wp:positionH relativeFrom="column">
            <wp:posOffset>5096758</wp:posOffset>
          </wp:positionH>
          <wp:positionV relativeFrom="paragraph">
            <wp:posOffset>-2153</wp:posOffset>
          </wp:positionV>
          <wp:extent cx="1041400" cy="1039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bil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0C5">
      <w:rPr>
        <w:noProof/>
      </w:rPr>
      <w:drawing>
        <wp:inline distT="0" distB="0" distL="0" distR="0" wp14:anchorId="2C7C1D3C" wp14:editId="307A4D91">
          <wp:extent cx="763325" cy="1037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3.0_RGB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1" cy="103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0C5" w:rsidRPr="00C370C5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C" w:rsidRDefault="00C96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39828" o:spid="_x0000_s2049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CF"/>
    <w:multiLevelType w:val="hybridMultilevel"/>
    <w:tmpl w:val="977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2030A"/>
    <w:multiLevelType w:val="hybridMultilevel"/>
    <w:tmpl w:val="E2C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0A"/>
    <w:multiLevelType w:val="hybridMultilevel"/>
    <w:tmpl w:val="7D1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B8D"/>
    <w:multiLevelType w:val="hybridMultilevel"/>
    <w:tmpl w:val="2B22F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6E1E"/>
    <w:multiLevelType w:val="hybridMultilevel"/>
    <w:tmpl w:val="652A5A5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95A19F9"/>
    <w:multiLevelType w:val="hybridMultilevel"/>
    <w:tmpl w:val="59F0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64B39"/>
    <w:multiLevelType w:val="hybridMultilevel"/>
    <w:tmpl w:val="1834F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3"/>
    <w:rsid w:val="000C65A1"/>
    <w:rsid w:val="000F2E3D"/>
    <w:rsid w:val="00104A4B"/>
    <w:rsid w:val="0012286F"/>
    <w:rsid w:val="00314624"/>
    <w:rsid w:val="004A20E2"/>
    <w:rsid w:val="005B7E7C"/>
    <w:rsid w:val="005C7AE6"/>
    <w:rsid w:val="00661A68"/>
    <w:rsid w:val="006D62F4"/>
    <w:rsid w:val="007338BF"/>
    <w:rsid w:val="00762F0C"/>
    <w:rsid w:val="008E6C13"/>
    <w:rsid w:val="008F5BA9"/>
    <w:rsid w:val="009366CB"/>
    <w:rsid w:val="009D1F81"/>
    <w:rsid w:val="00A23434"/>
    <w:rsid w:val="00A502DF"/>
    <w:rsid w:val="00A5033F"/>
    <w:rsid w:val="00AD5810"/>
    <w:rsid w:val="00B64536"/>
    <w:rsid w:val="00BB1570"/>
    <w:rsid w:val="00BB706D"/>
    <w:rsid w:val="00C370C5"/>
    <w:rsid w:val="00C96821"/>
    <w:rsid w:val="00CD7118"/>
    <w:rsid w:val="00D13BDB"/>
    <w:rsid w:val="00DA3AFC"/>
    <w:rsid w:val="00DE0B04"/>
    <w:rsid w:val="00DF1867"/>
    <w:rsid w:val="00EA4595"/>
    <w:rsid w:val="00F04C57"/>
    <w:rsid w:val="00F16AC5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C5"/>
  </w:style>
  <w:style w:type="paragraph" w:styleId="Footer">
    <w:name w:val="footer"/>
    <w:basedOn w:val="Normal"/>
    <w:link w:val="Foot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C5"/>
  </w:style>
  <w:style w:type="paragraph" w:styleId="BalloonText">
    <w:name w:val="Balloon Text"/>
    <w:basedOn w:val="Normal"/>
    <w:link w:val="BalloonTextChar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C5"/>
  </w:style>
  <w:style w:type="paragraph" w:styleId="Footer">
    <w:name w:val="footer"/>
    <w:basedOn w:val="Normal"/>
    <w:link w:val="FooterChar"/>
    <w:uiPriority w:val="99"/>
    <w:unhideWhenUsed/>
    <w:rsid w:val="00C3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C5"/>
  </w:style>
  <w:style w:type="paragraph" w:styleId="BalloonText">
    <w:name w:val="Balloon Text"/>
    <w:basedOn w:val="Normal"/>
    <w:link w:val="BalloonTextChar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7B60-1E93-4FE0-B7D7-65B33D87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Jennifer</dc:creator>
  <cp:lastModifiedBy>Cash, Ashley</cp:lastModifiedBy>
  <cp:revision>3</cp:revision>
  <dcterms:created xsi:type="dcterms:W3CDTF">2017-05-02T21:56:00Z</dcterms:created>
  <dcterms:modified xsi:type="dcterms:W3CDTF">2017-05-02T21:58:00Z</dcterms:modified>
</cp:coreProperties>
</file>